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highlight w:val="none"/>
        </w:rPr>
      </w:pPr>
      <w:r>
        <w:rPr>
          <w:b/>
          <w:sz w:val="28"/>
        </w:rPr>
        <w:t xml:space="preserve">Объявление</w:t>
      </w:r>
      <w:r>
        <w:rPr>
          <w:b/>
          <w:sz w:val="28"/>
        </w:rPr>
      </w:r>
      <w:r/>
    </w:p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  <w:t xml:space="preserve">о проведении отбора в 2024 году на предоставление субсидии застройщикам на возмещение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</w:t>
      </w:r>
      <w:r/>
    </w:p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  <w:t xml:space="preserve">на территории Курской области</w:t>
      </w:r>
      <w:r>
        <w:rPr>
          <w:b/>
          <w:sz w:val="28"/>
          <w:highlight w:val="none"/>
        </w:rPr>
      </w:r>
      <w:r/>
    </w:p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tbl>
      <w:tblPr>
        <w:tblStyle w:val="670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3685"/>
        <w:gridCol w:w="6203"/>
      </w:tblGrid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1.</w:t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Сроки проведения отбора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В соответствии с пунктами 2.5 и 2.10 Порядка </w:t>
            </w:r>
            <w:r>
              <w:rPr>
                <w:b w:val="false"/>
                <w:sz w:val="24"/>
                <w:highlight w:val="none"/>
              </w:rPr>
              <w:t xml:space="preserve">предоставления субсидии застройщикам на возмещение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</w:t>
            </w:r>
            <w:r>
              <w:rPr>
                <w:b w:val="false"/>
                <w:sz w:val="24"/>
                <w:highlight w:val="none"/>
              </w:rPr>
              <w:t xml:space="preserve">на территории Ку</w:t>
            </w:r>
            <w:r>
              <w:rPr>
                <w:b w:val="false"/>
                <w:sz w:val="24"/>
                <w:highlight w:val="none"/>
              </w:rPr>
              <w:t xml:space="preserve">р</w:t>
            </w:r>
            <w:r>
              <w:rPr>
                <w:b w:val="false"/>
                <w:sz w:val="24"/>
                <w:highlight w:val="none"/>
              </w:rPr>
              <w:t xml:space="preserve">ской области, утвержденного постановлением Правительства Курской области от 21.09.2021 №976-па </w:t>
            </w:r>
            <w:r>
              <w:rPr>
                <w:b w:val="false"/>
                <w:sz w:val="24"/>
                <w:highlight w:val="white"/>
              </w:rPr>
              <w:t xml:space="preserve">(в редакции постановления Правительства Курской области от 27.03.2024 № 237-пп) (далее - Порядок)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заявление и документы, указанные в пункте 2.4 настоящего Порядка, для участия в отборе на предоставление субсидии предоставляются в течение 15 рабочих дней с объявленной даты о начале подачи заявлений и документов участников отбора на участие в отборе.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Министерство в течени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е 5 рабочих дней со  дня окончания сроков принятия заявления и документов, указанных в пункте 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.4 настоящего Порядка, рассматривает их и принимает решение о предоставлении субсидии и заключении соглашения о предоставлении субсидии с застройщиком или об отказе в предоставлении субсидии и заключении соглашения о предоставлении субсидии с застройщиком.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2.</w:t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Дата начала подачи и окончания приема заявлений и документов участников отбора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с 05.04.2024 по 25.04.2024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3.</w:t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Наименование, место нахождения, почтовый адрес, адрес электронной почты Министерства строительства Курской области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Министерство строительства Курской области</w:t>
            </w:r>
            <w:r>
              <w:rPr>
                <w:sz w:val="24"/>
              </w:rPr>
            </w:r>
            <w:r/>
          </w:p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Место нахождения: 305002, г. Курск, ул. Марата, 9</w:t>
            </w:r>
            <w:r>
              <w:rPr>
                <w:sz w:val="24"/>
              </w:rPr>
            </w:r>
            <w:r/>
          </w:p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Почтовый адрес: </w:t>
            </w:r>
            <w:r>
              <w:rPr>
                <w:b w:val="false"/>
                <w:sz w:val="24"/>
                <w:highlight w:val="none"/>
              </w:rPr>
              <w:t xml:space="preserve">305002, г. Курск, ул. Марата, 9</w:t>
            </w:r>
            <w:r>
              <w:rPr>
                <w:sz w:val="24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адрес электронной почты: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highlight w:val="none"/>
              </w:rPr>
              <w:t xml:space="preserve"> </w:t>
            </w:r>
            <w:hyperlink r:id="rId10" w:tooltip="mailto:stroykomitet@rkursk.ru" w:history="1">
              <w:r>
                <w:rPr>
                  <w:rStyle w:val="830"/>
                  <w:rFonts w:ascii="Times New Roman" w:hAnsi="Times New Roman" w:cs="Times New Roman" w:eastAsia="Times New Roman"/>
                  <w:color w:val="auto"/>
                  <w:sz w:val="24"/>
                </w:rPr>
                <w:t xml:space="preserve">stroykomitet@rkursk.ru</w:t>
              </w:r>
            </w:hyperlink>
            <w:r>
              <w:rPr>
                <w:sz w:val="24"/>
              </w:rPr>
            </w:r>
            <w:r/>
          </w:p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highlight w:val="none"/>
              </w:rPr>
              <w:t xml:space="preserve">кабинет № 9,телефон (4712) 52-13-83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4.</w:t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Результат предоставления субсидии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В соответствии с пунктом 3.11 Порядка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езультатом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предоставления субсидии является количество семей, которые приобрели жилые помещения на территории Курской области с использованием ипотечных кредитов (займов) со сниженной процентной ставкой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полученных при государственной поддержке за счет средств областного бюджета.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Доменное имя и (или) указатели страниц государственной информационной системы в сети «Интернет»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b w:val="false"/>
                <w:sz w:val="24"/>
                <w:highlight w:val="none"/>
              </w:rPr>
              <w:t xml:space="preserve">https://строй.курск.рф/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b w:val="false"/>
                <w:sz w:val="24"/>
                <w:highlight w:val="none"/>
              </w:rPr>
              <w:t xml:space="preserve">Требования к участникам отбора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contextualSpacing w:val="true"/>
              <w:ind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b w:val="false"/>
                <w:sz w:val="24"/>
                <w:highlight w:val="none"/>
              </w:rPr>
              <w:t xml:space="preserve">В соответствии с пунктом 2.3 Порядка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ребования, которым должны соответствовать участники отбора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на 1 число месяца, предшествующего месяцу, в котором проводится отбор участников на предоставление субсидии: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офшорного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) владения активами в Российской Федерации (далее -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офшорные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При расчете доли участия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 в капитале других российских юридических лиц, реализованное через участие в капитале указанных публичных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акционерных обществ;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не находится в составляемых в рамках реализации полномочий, предусмотренных главой VII Ус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не получает средства из областного бюджета на основании иных нормативных правовых актов Курской области на цели, установленные в пункте 1.1 настоящего Порядка;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не является иностранным агентом в соответствии с Федеральным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законом от 14 июля 2022 года № 255-ФЗ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«О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контроле за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деятельностью лиц, находящихся под иностранным влиянием»;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отсутствуют просроченная задолже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Курской областью (за исключением случаев, установленных Правительством Курской области);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отсутствуют сведения о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участнике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в реестре недобросовестных поставщиков;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осуществляет деятельность не менее 3 лет (на дату подачи заявления);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площадь возведенного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участником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жилья за последние 3 года составляет не менее 10000 кв. м или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использует счета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эскроу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для расчетов по договорам участия в долевом строительстве в соответствии со статьями 15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, 15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Федерального закона от 30 декабря 2004 года № 214-ФЗ;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наличие заключенного с кредитной организацией договора (соглашения) о предоставлении отдельным категориям граждан, приобретающих жилые помещения на территории Курской области,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льготных жилищных (ипотечных) кредитов (займов) со сниженной процентной ставкой, составляющей не более 8 процентов;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наличие согласия, подтверждающего намерение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оплатить за счет собственных сре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дств кр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едитным организациям снижение процентных ставок по льготным жилищным (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ипотечным) кредитам (займам), выданным ими отдельным категориям граждан для приобретения жилых помещений на территории Курской области, в размере не более 22,6 процентов от суммы предоставленного гражданину льготного жилищного (ипотечного) кредита (займа).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b w:val="false"/>
                <w:sz w:val="24"/>
                <w:highlight w:val="none"/>
              </w:rPr>
              <w:t xml:space="preserve">Перечень документов, представляемых участниками отбора для подтверждения соответствия указанных требованиям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vMerge w:val="restart"/>
            <w:textDirection w:val="lrTb"/>
            <w:noWrap w:val="false"/>
          </w:tcPr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b w:val="false"/>
                <w:sz w:val="24"/>
                <w:highlight w:val="none"/>
              </w:rPr>
              <w:t xml:space="preserve">В соответствии с пунктом 2.4 Порядка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ля участия в отборе на предоставление субсидии участник отбора  представляет в Министерство заявление на предоставление субсидии, составленное по форме согласно приложению № 1 к настоящему Порядку, с приложением следующих документов: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1) выписка из Единого государственного реестра юридических лиц, полученная не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позднее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чем за 1 месяц до даты ее предоставления в Министерство;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2) согласие на оплату за счет собственных сре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дств кр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едитным организациям снижения процентной ставки по льготным жилищным (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ипотечным) кредитам (займам), выданным ими отдельным категориям граждан для приобретения жилых помещений на территории Курской области, в размере не более 22,6 процентов от суммы предоставленного гражданину льготного жилищного (ипотечного) кредита (займа);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3) копии учредительных документов (устава или учредительного договора);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4) справка территориального органа Федеральной налоговой инспекции, подписанная ее руководителем (уполномоченным лицом), об отсутствии (непревышении размера, определенного пунктом 3 статьи 47 Налогового кодекса Российской Федерации) по состоянию на перво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е число месяца, предшествующего месяцу, в котором планируется заключение соглашения о предоставлении субсидии, задолженности по уплате налогов, сборов, страховых взносов в бюджеты бюджетной системы Российской Федерации на едином налоговом счете Получателя;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5) справка, составленная в произвольной фо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рме и подписанная руководителем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о соответствии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следующим требованиям: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н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е является офшорной компанией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, а также российским юридическим лицом, в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уставном (складочном) капитале которого доля прямого или косвенного (через третьих лиц) участия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в совокупности превышает 25 процентов (если иное не предусмотрено законодательством Российской Федерации).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При расчете доли участия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офшорных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компаний в капитале других российских юридических лиц, реализованное через участие в капитале указанных публичных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акционерных обществ;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не находится в составляемых в рамках реализации полномочий, предусмотренных главой VII Ус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не является иностранным агентом в соответствии с Федеральным законом от 14 июля 2022 года № 255-ФЗ «О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контроле за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деятельностью лиц, находящихся под иностранным влиянием»;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) копия документа, подтверждающего полномочия лица на осуществление действий от имени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без доверенности (копия решения (протокола) о назначении или об избрании (приказа о назначении) физического лица на должность, в соответствии с которым такое физическое лицо обладает правом действовать от имени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без доверенности). В случае если от имени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действует иное лицо, прилагается также доверенность на осуществление действий от имени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, подписанная руководителем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или уполномоченным этим руководителем лицом, либо нотариально заверенная копия такой доверенности;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) информационная карта, составленная по форме согласно приложению № 2 к настоящему Порядку;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8) письмо-ув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едомление, подтверждающее, что участник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не находитс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 другого юридического лица), ликвидации, в отношении его не введена процедура банкротства, деятельность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не приостановлена в порядке, предусмотренном законодательством Российской Федерации;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) справка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, содержащая сведения о неполучении средств из областного бюджета на основании иных нормативных правовых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актов на цели, указанные в пункте 1.1 настоящего Порядка, подписанная руководителем и заверенная печатью (при наличии)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; 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10) справка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, содержащая сведения о площади возведенного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им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жилья за последние 3 года в размере не менее 10000 кв. м или сведения об использовании счетов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эскроу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для расчетов по договорам участия в долевом строительстве в соответствии со статьями 15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, 15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Федерального закона от 30 декабря 2004 года № 214-ФЗ, подписанная руководителем и заверенная печатью (при наличии)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11) копия договора (соглашения) с кредитной организацией о предоставлении гражданам, приобретающим жилые помещения на территории Курской области, ипотечных кредитов (займов) со сниженной процентной ставкой, составляющей не более 8 процентов;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12) расчет потребности в субсидии на 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возмещение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 части п</w:t>
            </w: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латы за снижение процентной ставки по льготным жилищным (ипотечным) кредитам (займам), выданным отдельным категориям граждан для приобретения жилых помещений на территории Курской области, составленный по форме согласно приложению № 3 к настоящему Порядку;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13) проект соглашения о предоставлении субсидии между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частником отбора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 и Министерством, подписанный со стороны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участника отбора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 в 2 экземплярах.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Проект соглашения о предоставлении субсидии Министерство размещает на официальном сайте Министерства в сети «Интернет» в разделе «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Документы».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Критерии отбора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contextualSpacing w:val="true"/>
              <w:ind w:firstLine="0"/>
              <w:jc w:val="both"/>
              <w:spacing w:lineRule="auto" w:line="240"/>
              <w:rPr>
                <w:color w:val="auto"/>
                <w:sz w:val="24"/>
                <w:highlight w:val="white"/>
              </w:rPr>
            </w:pPr>
            <w:r>
              <w:rPr>
                <w:b w:val="false"/>
                <w:sz w:val="24"/>
                <w:highlight w:val="none"/>
              </w:rPr>
              <w:t xml:space="preserve">В соответствии с пунктом 2.9 Порядка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ритериями отбора являются: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0"/>
              <w:jc w:val="both"/>
              <w:spacing w:lineRule="auto" w:line="240"/>
              <w:rPr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соответствие участника отбора требованиям, указанным 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 пункте 2.3 настоящего Порядка;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соответствие документов, предоставленных участником отбора для участия в отборе, документам,указанным в пункте 2.4 настоящего Порядка.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Порядок подачи участниками отбора заявлений и требования предъявляемые к форме и содержанию заявок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b w:val="false"/>
                <w:sz w:val="24"/>
                <w:highlight w:val="none"/>
              </w:rPr>
              <w:t xml:space="preserve">В соответствии с пунктами 2.5-2.7 Порядка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аявление и документы, указанные в пункте 2.4 настоящего Порядка, для участия в отборе на предоставление субсидии предоставляются в течение 15 рабочих дней с объявленной даты о начале подачи заявлений и документов участников отбора на участие в отборе.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Заявление и документы регистрируются Министерством в день поступления в журнале регистрации входящей корреспонденции.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Контроль за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 правильностью оформления и полнотой предоставленных документов осуществляет Министерство.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Ответственность за достоверность сведений, содержащихся в документах, предоставляемых в соответствии с пунктом 2.4 настоящего Порядка, возлагается на участников отбора.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0"/>
              <w:jc w:val="both"/>
              <w:spacing w:lineRule="auto" w:line="240"/>
              <w:rPr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Участники отбора вправе отозвать заявление в любое время до окончания проведения отбора. В случае отзыва заявления участнику отбора возвращается пакет документов, предоставленный на отбор.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Отзыв заявления не препятствует повторному предоставлению в Министерство заявления и документов для участия в отбор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е, но не позднее даты окончания приема заявлений, соответствующей пункту 2.5 настоящего Порядка. При этом регистрация заявления осуществляется в порядке очередности в день повторного предоставления заявления и документов на участие в отборе в Министерство.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Срок, в течении которого победитель (победители) отбора должны подписать соглашение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vMerge w:val="restart"/>
            <w:textDirection w:val="lrTb"/>
            <w:noWrap w:val="false"/>
          </w:tcPr>
          <w:p>
            <w:pPr>
              <w:contextualSpacing w:val="true"/>
              <w:ind w:firstLine="709"/>
              <w:jc w:val="both"/>
              <w:spacing w:lineRule="auto" w:line="240"/>
              <w:rPr>
                <w:color w:val="auto"/>
                <w:sz w:val="24"/>
                <w:highlight w:val="white"/>
              </w:rPr>
            </w:pPr>
            <w:r>
              <w:rPr>
                <w:b w:val="false"/>
                <w:sz w:val="24"/>
                <w:highlight w:val="none"/>
              </w:rPr>
              <w:t xml:space="preserve">В соответствии с 3.1 Порядка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 случае отсутствия оснований, указанных в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пункте 2.11  Порядка, Министерство не позднее 15 рабочих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дней со дня принятия решения о предоставлении субсидии заключает с получателем субсидии соглашение о предоставлении субсидии (далее - соглашение).</w:t>
            </w:r>
            <w:r>
              <w:rPr>
                <w:sz w:val="24"/>
              </w:rPr>
            </w:r>
            <w:r/>
          </w:p>
          <w:p>
            <w:pPr>
              <w:contextualSpacing w:val="true"/>
              <w:ind w:firstLine="709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Один экземпляр подписанного сторонами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 соглашения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Министерство направляет получателю субсидии посредством почтовой связи или вручает под расписку в течение 15 рабочих дней со дня  заключения соглашения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647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</w:r>
            <w:r>
              <w:rPr>
                <w:sz w:val="24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Дата размещения результатов отбора на официальном сайте Министерства строительства Курской области в информационно-телекоммуникационной сети «Интернет» в разделе «Документы»</w:t>
            </w:r>
            <w:r>
              <w:rPr>
                <w:sz w:val="24"/>
              </w:rPr>
            </w:r>
            <w:r/>
          </w:p>
        </w:tc>
        <w:tc>
          <w:tcPr>
            <w:tcW w:w="6203" w:type="dxa"/>
            <w:vMerge w:val="restart"/>
            <w:textDirection w:val="lrTb"/>
            <w:noWrap w:val="false"/>
          </w:tcPr>
          <w:p>
            <w:pPr>
              <w:jc w:val="both"/>
              <w:rPr>
                <w:b w:val="false"/>
                <w:sz w:val="24"/>
                <w:highlight w:val="none"/>
              </w:rPr>
            </w:pPr>
            <w:r>
              <w:rPr>
                <w:b w:val="false"/>
                <w:sz w:val="24"/>
                <w:highlight w:val="none"/>
              </w:rPr>
              <w:t xml:space="preserve">до 22.05.2024</w:t>
            </w:r>
            <w:r>
              <w:rPr>
                <w:sz w:val="24"/>
              </w:rPr>
            </w:r>
            <w:r/>
          </w:p>
        </w:tc>
      </w:tr>
    </w:tbl>
    <w:p>
      <w:pPr>
        <w:jc w:val="center"/>
        <w:rPr>
          <w:b/>
          <w:sz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Контактный телефон 70-07-97, главный консультант отдела государственного контроля (надзора) в области долевого строительства Министерства строительства Курской области - Севрюкова Евгения Николаевна.</w:t>
      </w:r>
      <w:r>
        <w:rPr>
          <w:sz w:val="28"/>
        </w:rPr>
      </w:r>
    </w:p>
    <w:sectPr>
      <w:footnotePr/>
      <w:endnotePr/>
      <w:type w:val="nextPage"/>
      <w:pgSz w:w="11907" w:h="16840" w:orient="portrait"/>
      <w:pgMar w:top="1162" w:right="567" w:bottom="1134" w:left="10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lang w:val="ru-RU" w:bidi="ar-SA" w:eastAsia="ru-RU"/>
    </w:rPr>
  </w:style>
  <w:style w:type="paragraph" w:styleId="815">
    <w:name w:val="Заголовок 2"/>
    <w:basedOn w:val="814"/>
    <w:next w:val="814"/>
    <w:link w:val="820"/>
    <w:rPr>
      <w:sz w:val="24"/>
    </w:rPr>
    <w:pPr>
      <w:jc w:val="center"/>
      <w:keepNext/>
      <w:outlineLvl w:val="1"/>
    </w:pPr>
  </w:style>
  <w:style w:type="character" w:styleId="816">
    <w:name w:val="Основной шрифт абзаца"/>
    <w:next w:val="816"/>
    <w:link w:val="814"/>
    <w:semiHidden/>
  </w:style>
  <w:style w:type="table" w:styleId="817">
    <w:name w:val="Обычная таблица"/>
    <w:next w:val="817"/>
    <w:link w:val="814"/>
    <w:semiHidden/>
    <w:tblPr/>
  </w:style>
  <w:style w:type="numbering" w:styleId="818">
    <w:name w:val="Нет списка"/>
    <w:next w:val="818"/>
    <w:link w:val="814"/>
    <w:semiHidden/>
  </w:style>
  <w:style w:type="paragraph" w:styleId="819">
    <w:name w:val="Основной текст"/>
    <w:basedOn w:val="814"/>
    <w:next w:val="819"/>
    <w:link w:val="827"/>
    <w:rPr>
      <w:b/>
      <w:sz w:val="28"/>
    </w:rPr>
    <w:pPr>
      <w:jc w:val="center"/>
    </w:pPr>
  </w:style>
  <w:style w:type="character" w:styleId="820">
    <w:name w:val="Заголовок 2 Знак"/>
    <w:next w:val="820"/>
    <w:link w:val="815"/>
    <w:rPr>
      <w:sz w:val="24"/>
      <w:lang w:val="ru-RU" w:bidi="ar-SA" w:eastAsia="ru-RU"/>
    </w:rPr>
  </w:style>
  <w:style w:type="character" w:styleId="821">
    <w:name w:val="apple-converted-space"/>
    <w:next w:val="821"/>
    <w:link w:val="814"/>
  </w:style>
  <w:style w:type="paragraph" w:styleId="822">
    <w:name w:val="a"/>
    <w:basedOn w:val="814"/>
    <w:next w:val="822"/>
    <w:link w:val="814"/>
    <w:rPr>
      <w:sz w:val="24"/>
      <w:szCs w:val="24"/>
    </w:rPr>
    <w:pPr>
      <w:spacing w:after="100" w:afterAutospacing="1" w:before="100" w:beforeAutospacing="1"/>
    </w:pPr>
  </w:style>
  <w:style w:type="character" w:styleId="823">
    <w:name w:val="code"/>
    <w:next w:val="823"/>
    <w:link w:val="814"/>
  </w:style>
  <w:style w:type="character" w:styleId="824">
    <w:name w:val="Строгий"/>
    <w:next w:val="824"/>
    <w:link w:val="814"/>
    <w:rPr>
      <w:b/>
      <w:bCs/>
    </w:rPr>
  </w:style>
  <w:style w:type="paragraph" w:styleId="825">
    <w:name w:val="Default"/>
    <w:next w:val="825"/>
    <w:link w:val="814"/>
    <w:rPr>
      <w:color w:val="000000"/>
      <w:sz w:val="24"/>
      <w:szCs w:val="24"/>
      <w:lang w:val="ru-RU" w:bidi="ar-SA" w:eastAsia="ru-RU"/>
    </w:rPr>
  </w:style>
  <w:style w:type="character" w:styleId="826">
    <w:name w:val="Выделение"/>
    <w:next w:val="826"/>
    <w:link w:val="814"/>
    <w:rPr>
      <w:i/>
      <w:iCs/>
    </w:rPr>
  </w:style>
  <w:style w:type="character" w:styleId="827">
    <w:name w:val="Основной текст Знак"/>
    <w:next w:val="827"/>
    <w:link w:val="819"/>
    <w:rPr>
      <w:b/>
      <w:sz w:val="28"/>
      <w:lang w:val="ru-RU" w:bidi="ar-SA" w:eastAsia="ru-RU"/>
    </w:rPr>
  </w:style>
  <w:style w:type="paragraph" w:styleId="828">
    <w:name w:val="Текст выноски"/>
    <w:basedOn w:val="814"/>
    <w:next w:val="828"/>
    <w:link w:val="829"/>
    <w:rPr>
      <w:rFonts w:ascii="Segoe UI" w:hAnsi="Segoe UI"/>
      <w:sz w:val="18"/>
      <w:szCs w:val="18"/>
    </w:rPr>
  </w:style>
  <w:style w:type="character" w:styleId="829">
    <w:name w:val="Текст выноски Знак"/>
    <w:next w:val="829"/>
    <w:link w:val="828"/>
    <w:rPr>
      <w:rFonts w:ascii="Segoe UI" w:hAnsi="Segoe UI"/>
      <w:sz w:val="18"/>
      <w:szCs w:val="18"/>
    </w:rPr>
  </w:style>
  <w:style w:type="character" w:styleId="830">
    <w:name w:val="Гиперссылка"/>
    <w:next w:val="830"/>
    <w:link w:val="814"/>
    <w:rPr>
      <w:color w:val="0000FF"/>
      <w:u w:val="single"/>
    </w:rPr>
  </w:style>
  <w:style w:type="character" w:styleId="831" w:default="1">
    <w:name w:val="Default Paragraph Font"/>
    <w:uiPriority w:val="1"/>
    <w:semiHidden/>
    <w:unhideWhenUsed/>
  </w:style>
  <w:style w:type="numbering" w:styleId="832" w:default="1">
    <w:name w:val="No List"/>
    <w:uiPriority w:val="99"/>
    <w:semiHidden/>
    <w:unhideWhenUsed/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stroykomitet@rkur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2024-03-28T11:58:30Z</dcterms:modified>
</cp:coreProperties>
</file>