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4B252B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участке по адресу:  Курская область, </w:t>
      </w:r>
      <w:proofErr w:type="spellStart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>Фатежский</w:t>
      </w:r>
      <w:proofErr w:type="spellEnd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район, </w:t>
      </w:r>
      <w:proofErr w:type="spellStart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>Миленинский</w:t>
      </w:r>
      <w:proofErr w:type="spellEnd"/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сельсовет, кадастровый номер 46:25:130402:1</w:t>
      </w:r>
    </w:p>
    <w:p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7"/>
        <w:gridCol w:w="3368"/>
        <w:gridCol w:w="1463"/>
        <w:gridCol w:w="4904"/>
      </w:tblGrid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Министерство строительства Курской области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2" w:type="dxa"/>
            <w:gridSpan w:val="2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2" w:type="dxa"/>
            <w:gridSpan w:val="2"/>
          </w:tcPr>
          <w:p w:rsidR="004B252B" w:rsidRPr="00942D47" w:rsidRDefault="00642239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7" w:history="1">
              <w:r w:rsidR="004B252B" w:rsidRPr="00942D47">
                <w:rPr>
                  <w:rStyle w:val="a7"/>
                  <w:rFonts w:ascii="Times New Roman" w:hAnsi="Times New Roman" w:cs="Times New Roman"/>
                  <w:b w:val="0"/>
                  <w:sz w:val="26"/>
                  <w:szCs w:val="26"/>
                  <w:bdr w:val="none" w:sz="0" w:space="0" w:color="auto" w:frame="1"/>
                </w:rPr>
                <w:t>stroykomitet@rkursk.ru</w:t>
              </w:r>
            </w:hyperlink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8 (4712) 700-795</w:t>
            </w: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Курская область,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Фатежский</w:t>
            </w:r>
            <w:proofErr w:type="spell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район,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Миленинский</w:t>
            </w:r>
            <w:proofErr w:type="spellEnd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46:25:130402:1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000 </w:t>
            </w:r>
            <w:proofErr w:type="spell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для индивидуального жилищного строительства.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2" w:type="dxa"/>
            <w:gridSpan w:val="2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Функциональная зона: Ж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«З</w:t>
            </w: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она малоэтажной жилой застройки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Максимальная этажность для ИЖС: до 3 этажей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Максимальный процент застройки: 50%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Минимальная площадь участка для ИЖС: 300 </w:t>
            </w:r>
            <w:proofErr w:type="spell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Максимальная площадь участка: для ИЖС: 5000 </w:t>
            </w:r>
            <w:proofErr w:type="spell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  <w:p w:rsidR="004B252B" w:rsidRPr="00756641" w:rsidRDefault="004B252B" w:rsidP="00023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инимальное расстояние от границ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основного строения - 3 метра;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хозяйственных и прочих строений - 1 м; отдельно стоящего гаража - 1 м; выгребной ямы,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дворовой уборной, площадки для хранения ТБО, компостной ямы - 3 м.;</w:t>
            </w:r>
          </w:p>
          <w:p w:rsidR="004B252B" w:rsidRPr="00756641" w:rsidRDefault="004B252B" w:rsidP="00023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ксимальная высота от уровня земли: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до верха плоской кровли - не более 15 м;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до конька скатной кровли - не более 19 м;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>для всех вспомогательных строений высота от уровня земли до верха плоской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t xml:space="preserve">кровли не более 4 м, до конька скатной кровли - не </w:t>
            </w:r>
            <w:r w:rsidRPr="007566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более 7 м.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158B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58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Отступ </w:t>
            </w:r>
            <w:r w:rsidRPr="00F158BF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красной линии до линии регулирования застройки при новом строительстве составляет - 5 метров. В сложившейся застройке линию регулирования застройки допускается совмещать с красной линией;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Максимальная высота ограждений земельных участков жилой застройки:</w:t>
            </w:r>
          </w:p>
          <w:p w:rsidR="004B252B" w:rsidRPr="0075664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 вдоль скоростных транспортных магистралей, улиц и проездов - до 2,5 метра;</w:t>
            </w:r>
          </w:p>
          <w:p w:rsidR="004B252B" w:rsidRPr="005337A0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75664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 между соседними участками застройки - 1,8 метра без согласо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вания со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смежными землепользователями. Более 1,8 метра - по согласованию со смежными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землепользователями. Для участков жилой застройки высота 1,8 метра может быть иной при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условии, если это не нарушает объемно-пространственных характеристик окружающей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застройки и ландшафта, норм инсоляции и естественной освещенности.</w:t>
            </w:r>
          </w:p>
          <w:p w:rsidR="004B252B" w:rsidRPr="005337A0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граждения, расположенные на границе смежных земельных участков,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должны быть выполнены в «прозрачном» исполнении. Максимальная высота ограждения не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применяется к ограждениям в «прозрачном» исполнении. Устройство глухих (непрозрачных)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ограждений допускается при взаимном согласии владельцев соседних земельных участков.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Непрозрачные ограждения вдоль скоростных транспортных магистралей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должны быть согласованы в установленном порядке в отделе архитектуры соответствующего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5337A0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округа.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158B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Правила землепользования и застройки утверждены  решением представительского собрания  </w:t>
            </w:r>
            <w:proofErr w:type="spellStart"/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>Фатежского</w:t>
            </w:r>
            <w:proofErr w:type="spellEnd"/>
            <w:r w:rsidRPr="00F158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Курской области от 31.08.08.2021 № 147</w:t>
            </w:r>
          </w:p>
        </w:tc>
      </w:tr>
      <w:tr w:rsidR="00E5438F" w:rsidRPr="008978A2" w:rsidTr="00023084">
        <w:tc>
          <w:tcPr>
            <w:tcW w:w="709" w:type="dxa"/>
          </w:tcPr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3261" w:type="dxa"/>
          </w:tcPr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6202" w:type="dxa"/>
            <w:gridSpan w:val="2"/>
          </w:tcPr>
          <w:p w:rsidR="00E5438F" w:rsidRDefault="00E5438F" w:rsidP="00E5438F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Срок договора аренды земельного участка будет равен сроку </w:t>
            </w:r>
            <w:r w:rsidRPr="00E5438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реализации масштабного инвестиционного проекта,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который будет предложен победителем лучшего масштабного инвестиционного проекта в предложении об условиях реализации масштабного инвестиционного проекта.</w:t>
            </w:r>
          </w:p>
          <w:p w:rsidR="00E5438F" w:rsidRPr="00FE7A6C" w:rsidRDefault="00E5438F" w:rsidP="00E5438F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Размер арендной платы определяется в соответствии с постановлением Администрации  Курской области  от 27.03.2017 № 249-па (в ред. постановления Администрации Курской области от 22.04.2025 № 307-пп).</w:t>
            </w:r>
          </w:p>
          <w:p w:rsidR="00E5438F" w:rsidRDefault="00E5438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газопровод высокого давления 2-й категории Ф159мм. Расстояние до участка 2 км.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АО «Газпром газораспределение Курск»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ПС «Фатеж», </w:t>
            </w:r>
            <w:proofErr w:type="gram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ВЛ</w:t>
            </w:r>
            <w:proofErr w:type="gram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10 </w:t>
            </w:r>
            <w:proofErr w:type="spell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3.1.31. Расстояние 0,3 и 0,65 км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филиал ПАО «</w:t>
            </w:r>
            <w:proofErr w:type="spellStart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Россети</w:t>
            </w:r>
            <w:proofErr w:type="spellEnd"/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центр»- «Курскэнерго»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2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2" w:type="dxa"/>
            <w:gridSpan w:val="2"/>
          </w:tcPr>
          <w:p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ствует</w:t>
            </w: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tbl>
            <w:tblPr>
              <w:tblStyle w:val="a3"/>
              <w:tblW w:w="9163" w:type="dxa"/>
              <w:tblLook w:val="04A0" w:firstRow="1" w:lastRow="0" w:firstColumn="1" w:lastColumn="0" w:noHBand="0" w:noVBand="1"/>
            </w:tblPr>
            <w:tblGrid>
              <w:gridCol w:w="3749"/>
              <w:gridCol w:w="1367"/>
              <w:gridCol w:w="1997"/>
              <w:gridCol w:w="2050"/>
            </w:tblGrid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проекта.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менее 20% от жилой площади, вводимой в эксплуатацию при реализации масштабного инвестиционного проекта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более 100% жилой площади, вводимой в эксплуатацию при реализации масштабного инвестиционного проекта</w:t>
                  </w:r>
                </w:p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B252B" w:rsidRPr="00FE7A6C" w:rsidRDefault="004B252B" w:rsidP="0002308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18 900 </w:t>
                  </w: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FE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FE7A6C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18 900 </w:t>
                  </w:r>
                  <w:proofErr w:type="spell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FE7A6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472D0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4B252B" w:rsidRPr="00472D03" w:rsidTr="00023084">
              <w:tc>
                <w:tcPr>
                  <w:tcW w:w="374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36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97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50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tbl>
            <w:tblPr>
              <w:tblStyle w:val="a3"/>
              <w:tblW w:w="9509" w:type="dxa"/>
              <w:tblLook w:val="04A0" w:firstRow="1" w:lastRow="0" w:firstColumn="1" w:lastColumn="0" w:noHBand="0" w:noVBand="1"/>
            </w:tblPr>
            <w:tblGrid>
              <w:gridCol w:w="3769"/>
              <w:gridCol w:w="1838"/>
              <w:gridCol w:w="3902"/>
            </w:tblGrid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аксимальный балл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="002F6F04"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проекта.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55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жилой площади, возможных к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вводу при реализации масштабного инвестиционного проекта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5%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расчета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определяются в днях и отсчитываются от первого числа месяца года, в котором проводится отбор.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расчета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определяются в днях и отсчитываются от первого числа месяца года, в котором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проводится отбор.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72D0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472D03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:rsidR="004B252B" w:rsidRPr="00472D03" w:rsidRDefault="004B252B" w:rsidP="0002308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472D0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472D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40000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40001 </w:t>
                  </w:r>
                  <w:proofErr w:type="spell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838" w:type="dxa"/>
                  <w:vAlign w:val="center"/>
                </w:tcPr>
                <w:p w:rsidR="004B252B" w:rsidRPr="00472D03" w:rsidRDefault="004B252B" w:rsidP="002F6F0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</w:t>
                  </w:r>
                  <w:r w:rsidR="002F6F0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02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да</w:t>
                  </w:r>
                </w:p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4B252B" w:rsidRPr="00472D03" w:rsidTr="00023084">
              <w:tc>
                <w:tcPr>
                  <w:tcW w:w="3769" w:type="dxa"/>
                  <w:vAlign w:val="center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38" w:type="dxa"/>
                </w:tcPr>
                <w:p w:rsidR="004B252B" w:rsidRPr="00472D03" w:rsidRDefault="004B252B" w:rsidP="00023084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 баллов</w:t>
                  </w:r>
                </w:p>
              </w:tc>
              <w:tc>
                <w:tcPr>
                  <w:tcW w:w="3902" w:type="dxa"/>
                </w:tcPr>
                <w:p w:rsidR="004B252B" w:rsidRPr="00472D03" w:rsidRDefault="004B252B" w:rsidP="00023084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Присваиваемые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 расчете </w:t>
                  </w:r>
                  <w:r w:rsidRPr="00472D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баллы округляются до сотых</w:t>
                  </w:r>
                </w:p>
              </w:tc>
            </w:tr>
          </w:tbl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:rsidR="00E5438F" w:rsidRDefault="00E5438F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38F" w:rsidRPr="00486281" w:rsidRDefault="00E5438F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color w:val="C00000"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color w:val="C00000"/>
                <w:sz w:val="26"/>
                <w:szCs w:val="26"/>
              </w:rPr>
              <w:t xml:space="preserve">Срок договора аренды земельного участка будет равен сроку реализации </w:t>
            </w:r>
            <w:r w:rsidRPr="00486281">
              <w:rPr>
                <w:rFonts w:ascii="Times New Roman" w:hAnsi="Times New Roman" w:cs="Times New Roman"/>
                <w:b w:val="0"/>
                <w:color w:val="C00000"/>
                <w:sz w:val="26"/>
                <w:szCs w:val="26"/>
              </w:rPr>
              <w:lastRenderedPageBreak/>
              <w:t>масштабного инвестиционного проекта, который будет предложен победителем лучшего масштабного инвестиционного проекта в предложении об условиях реализации масштабного инвестиционного проекта.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63" w:type="dxa"/>
            <w:gridSpan w:val="3"/>
          </w:tcPr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62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</w:t>
            </w:r>
            <w:proofErr w:type="gramEnd"/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утвержденному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</w:t>
            </w:r>
            <w:r w:rsidRPr="00486281">
              <w:rPr>
                <w:rFonts w:ascii="Times New Roman" w:hAnsi="Times New Roman" w:cs="Times New Roman"/>
                <w:b/>
                <w:sz w:val="26"/>
                <w:szCs w:val="26"/>
              </w:rPr>
              <w:t>, с приложением: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подпункте 1 пункта 2.1 Порядка, иные графические материалы, отражающие предложения по строительству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по форме Соглашения приложенного к данному Порядку.</w:t>
            </w:r>
          </w:p>
          <w:p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:rsidR="004B252B" w:rsidRPr="00486281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10172" w:type="dxa"/>
            <w:gridSpan w:val="4"/>
            <w:shd w:val="clear" w:color="auto" w:fill="EEECE1" w:themeFill="background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:rsidR="004B252B" w:rsidRPr="00486281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="00821F24"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мая 2025 с 9 часов 00 минут.</w:t>
            </w:r>
          </w:p>
          <w:p w:rsidR="00821F24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821F24" w:rsidRPr="008978A2" w:rsidRDefault="00821F24" w:rsidP="00821F2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821F2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о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:rsidR="004B252B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 w:rsidR="00821F24"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ию</w:t>
            </w:r>
            <w:r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="00821F24" w:rsidRPr="00486281">
              <w:rPr>
                <w:rFonts w:ascii="Times New Roman" w:hAnsi="Times New Roman" w:cs="Times New Roman"/>
                <w:bCs/>
                <w:sz w:val="26"/>
                <w:szCs w:val="26"/>
              </w:rPr>
              <w:t>я 2025 года 18 часов 00 минут</w:t>
            </w:r>
            <w:r w:rsidR="00821F2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486281" w:rsidRPr="008978A2" w:rsidTr="00023084">
        <w:tc>
          <w:tcPr>
            <w:tcW w:w="709" w:type="dxa"/>
          </w:tcPr>
          <w:p w:rsidR="00486281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678" w:type="dxa"/>
            <w:gridSpan w:val="2"/>
          </w:tcPr>
          <w:p w:rsidR="00486281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подачи заявлений об участии в отборе</w:t>
            </w:r>
          </w:p>
        </w:tc>
        <w:tc>
          <w:tcPr>
            <w:tcW w:w="4785" w:type="dxa"/>
          </w:tcPr>
          <w:p w:rsidR="00486281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Заявление об участии в отборе и прилагаемые к нему документы доставляются участником отбора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адресу: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по его выбору одним из следующих способов:</w:t>
            </w:r>
          </w:p>
          <w:p w:rsidR="00486281" w:rsidRDefault="00486281" w:rsidP="00486281">
            <w:pPr>
              <w:pStyle w:val="ConsPlusTitle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 помощью почты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;</w:t>
            </w:r>
          </w:p>
          <w:p w:rsidR="00486281" w:rsidRDefault="00486281" w:rsidP="00486281">
            <w:pPr>
              <w:pStyle w:val="ConsPlusTitle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курьером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; </w:t>
            </w:r>
          </w:p>
          <w:p w:rsidR="00486281" w:rsidRDefault="00486281" w:rsidP="00486281">
            <w:pPr>
              <w:pStyle w:val="ConsPlusTitle"/>
              <w:numPr>
                <w:ilvl w:val="0"/>
                <w:numId w:val="2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лично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; </w:t>
            </w: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  <w:p w:rsidR="00486281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86281" w:rsidRDefault="00486281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8628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785" w:type="dxa"/>
          </w:tcPr>
          <w:p w:rsidR="004B252B" w:rsidRPr="00642239" w:rsidRDefault="00821F24" w:rsidP="0048628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r w:rsidRPr="0064223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486281" w:rsidRPr="0064223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6422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ию</w:t>
            </w:r>
            <w:r w:rsidR="00486281" w:rsidRPr="00642239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 w:rsidRPr="006422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 2025 года </w:t>
            </w:r>
            <w:bookmarkEnd w:id="0"/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8628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8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:rsidTr="00023084">
        <w:tc>
          <w:tcPr>
            <w:tcW w:w="709" w:type="dxa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678" w:type="dxa"/>
            <w:gridSpan w:val="2"/>
          </w:tcPr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1) Проектом должно предусматриваться обязательное создание объектов благоустройства на территории застройки - детских площадок и  озеленения.</w:t>
            </w:r>
          </w:p>
          <w:p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2) Не менее 50% жилья от общего объема, 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котор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ый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бу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дет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 реализован 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</w:t>
            </w: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</w:t>
            </w:r>
            <w:proofErr w:type="gramEnd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Курской области, </w:t>
            </w:r>
            <w:proofErr w:type="gramStart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исходя из которой произведен</w:t>
            </w:r>
            <w:proofErr w:type="gramEnd"/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расчет размера полученной ими выплаты,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должно предусматриваться в первой линии застройки. </w:t>
            </w:r>
          </w:p>
        </w:tc>
      </w:tr>
    </w:tbl>
    <w:p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6469B"/>
    <w:multiLevelType w:val="hybridMultilevel"/>
    <w:tmpl w:val="B6F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2F6F04"/>
    <w:rsid w:val="00486281"/>
    <w:rsid w:val="004B252B"/>
    <w:rsid w:val="005337A0"/>
    <w:rsid w:val="00642239"/>
    <w:rsid w:val="00756641"/>
    <w:rsid w:val="00821F24"/>
    <w:rsid w:val="008846C2"/>
    <w:rsid w:val="008978A2"/>
    <w:rsid w:val="008B0660"/>
    <w:rsid w:val="00942D47"/>
    <w:rsid w:val="00A62059"/>
    <w:rsid w:val="00D45DFA"/>
    <w:rsid w:val="00E5438F"/>
    <w:rsid w:val="00F158BF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88;&#1086;&#1081;.&#1082;&#1091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stroykomitet@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FDFF-E4A3-4831-B708-418410B6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3</cp:revision>
  <dcterms:created xsi:type="dcterms:W3CDTF">2025-06-09T15:51:00Z</dcterms:created>
  <dcterms:modified xsi:type="dcterms:W3CDTF">2025-06-09T15:52:00Z</dcterms:modified>
</cp:coreProperties>
</file>