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 xml:space="preserve">г.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контроля (надзора) в области долевого строительства многоквартирных домов и (или) иных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недвижимости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по региональному государственному контролю (</w:t>
      </w:r>
      <w:r>
        <w:rPr>
          <w:rFonts w:ascii="Times New Roman" w:hAnsi="Times New Roman" w:cs="Times New Roman"/>
          <w:sz w:val="28"/>
          <w:szCs w:val="28"/>
        </w:rPr>
        <w:t xml:space="preserve">надзору) в области долевого строительства многоквартирных домов и (или) иных объектов недвижимости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Программа), разработана в соответствии с частью 4 статьи 44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 № 248-ФЗ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 (далее –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от 31.07.2020 </w:t>
      </w:r>
      <w:r>
        <w:rPr>
          <w:rFonts w:ascii="Times New Roman" w:hAnsi="Times New Roman" w:cs="Times New Roman"/>
          <w:sz w:val="28"/>
          <w:szCs w:val="28"/>
        </w:rPr>
        <w:t xml:space="preserve">№ 248-ФЗ),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25 июня              2021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/>
    </w:p>
    <w:p>
      <w:pPr>
        <w:ind w:right="-1"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целях осуществления комплекса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установленных Федеральным законом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от 30 декабря 2004 г 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               (далее –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 от 30.12.2004 </w:t>
      </w:r>
      <w:r>
        <w:rPr>
          <w:rFonts w:ascii="Times New Roman" w:hAnsi="Times New Roman" w:cs="Times New Roman"/>
          <w:sz w:val="28"/>
          <w:szCs w:val="28"/>
        </w:rPr>
        <w:t xml:space="preserve">№ 214-ФЗ), а также иных требований по вопросам привлечения денежных средств участников долевого строительства для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(создания) многоквартирных домов и (или) иных объектов недвижимости, установленных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федерального органа исполнительной власти, нормативными правовыми актами уполномоченного органа исполнительной власти субъекта Российской Федерации (далее – уполномоченный орган, законодательство о долевом строительстве соответственно), и н</w:t>
      </w:r>
      <w:r>
        <w:rPr>
          <w:rFonts w:ascii="Times New Roman" w:hAnsi="Times New Roman" w:cs="Times New Roman"/>
          <w:sz w:val="28"/>
          <w:szCs w:val="28"/>
        </w:rPr>
        <w:t xml:space="preserve">аправлена на выявление и устранение конкретных причин и факторов несоблюдения обязательных требований, а также на создание и развитие системы профилактики при осуществлении регионального государственного контроля (надзора) в области долевого строительства.</w:t>
      </w:r>
      <w:r/>
    </w:p>
    <w:p>
      <w:pPr>
        <w:ind w:right="-1"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 органом государственной власти, осуществляющим региональный государственный контроль (надзор) в области долевого строительства многоквартирных домов </w:t>
      </w:r>
      <w:r>
        <w:rPr>
          <w:rFonts w:ascii="Times New Roman" w:hAnsi="Times New Roman" w:cs="Times New Roman"/>
          <w:sz w:val="28"/>
          <w:szCs w:val="28"/>
        </w:rPr>
        <w:t xml:space="preserve">и 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строительства Курской области (далее -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2"/>
        <w:numPr>
          <w:ilvl w:val="0"/>
          <w:numId w:val="9"/>
        </w:num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 контроля (надзора)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/>
    </w:p>
    <w:p>
      <w:pPr>
        <w:pStyle w:val="842"/>
        <w:ind w:left="0"/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регионального государственного контроля в сфере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региональный государственный контроль (надзор))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являются: юридические лица.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государственного контроля в сфере регионально</w:t>
      </w:r>
      <w:r>
        <w:rPr>
          <w:rFonts w:ascii="Times New Roman" w:hAnsi="Times New Roman" w:cs="Times New Roman"/>
          <w:sz w:val="28"/>
          <w:szCs w:val="28"/>
        </w:rPr>
        <w:t xml:space="preserve">го государственного контроля (надзора) является деятельность контролируемых лиц, связанная 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для возмеще</w:t>
      </w:r>
      <w:r>
        <w:rPr>
          <w:rFonts w:ascii="Times New Roman" w:hAnsi="Times New Roman" w:cs="Times New Roman"/>
          <w:sz w:val="28"/>
          <w:szCs w:val="28"/>
        </w:rPr>
        <w:t xml:space="preserve">ния затрат на такое строительство  и возникновением у участников долевого строительства права собственности  на объекты долевого строительства и права общей долевой собственности  на общее имущество в многоквартирном доме и (или) ином объекте недвижимости.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регионального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дарственного контроля (надзора) 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в том числе, застройщиками, их 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лицами, обязательных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30.12.2004 № 214-ФЗ</w:t>
      </w:r>
      <w:r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</w:t>
      </w:r>
      <w:r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01 октября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 года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 застройщиков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осуществляют деятельность, связанную с привлечением денежных средств участников долевого строительства. Указанным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застройщиками 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многоквартирных жилых домов. Общая площадь объектов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282 730,09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кв.м.</w:t>
      </w:r>
      <w:r>
        <w:rPr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осуществлении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контролирующий орган вправе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к</w:t>
      </w:r>
      <w:r>
        <w:rPr>
          <w:rFonts w:ascii="Times New Roman" w:hAnsi="Times New Roman" w:cs="Times New Roman"/>
          <w:sz w:val="28"/>
          <w:szCs w:val="28"/>
        </w:rPr>
        <w:t xml:space="preserve">онтрольны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(надзорны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)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такие как </w:t>
      </w:r>
      <w:r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(далее – документарная проверка), наблюдение за соблюдением обязательных требований (без взаимод</w:t>
      </w:r>
      <w:r>
        <w:rPr>
          <w:rFonts w:ascii="Times New Roman" w:hAnsi="Times New Roman" w:cs="Times New Roman"/>
          <w:sz w:val="28"/>
          <w:szCs w:val="28"/>
        </w:rPr>
        <w:t xml:space="preserve">ействия с контролируемым лицом);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выдавать предписание об устранении выявленных нарушений обязательных требований, выявленных в ходе наблюдения за соблюдением обязательных требов</w:t>
      </w:r>
      <w:r>
        <w:rPr>
          <w:rFonts w:ascii="Times New Roman" w:hAnsi="Times New Roman" w:cs="Times New Roman"/>
          <w:sz w:val="28"/>
          <w:szCs w:val="28"/>
        </w:rPr>
        <w:t xml:space="preserve">аний (мониторинга безопасности)</w:t>
      </w:r>
      <w:r>
        <w:rPr>
          <w:rFonts w:ascii="Times New Roman" w:hAnsi="Times New Roman" w:cs="Times New Roman"/>
          <w:sz w:val="28"/>
          <w:szCs w:val="28"/>
        </w:rPr>
        <w:t xml:space="preserve"> и привлекать к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дминистративной ответственности;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обращаться в суд с заявлением о приостановлении деятельности, связанной с привлечением денежных средств участников долевого строительства,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Федеральны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от 30.12.2004 </w:t>
      </w:r>
      <w:r>
        <w:rPr>
          <w:rFonts w:ascii="Times New Roman" w:hAnsi="Times New Roman" w:cs="Times New Roman"/>
          <w:sz w:val="28"/>
          <w:szCs w:val="28"/>
        </w:rPr>
        <w:t xml:space="preserve">№ 214-ФЗ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этом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не вправе вмешиваться в хозяйственную деятельность застройщиков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статьи 23</w:t>
      </w:r>
      <w:r>
        <w:rPr>
          <w:rFonts w:ascii="Times New Roman" w:hAnsi="Times New Roman" w:cs="Times New Roman"/>
          <w:sz w:val="28"/>
          <w:szCs w:val="28"/>
        </w:rPr>
        <w:t xml:space="preserve">.5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30.12.2004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214-ФЗ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осуществлении регионального государственного контроля (надзора) плановые контрольные (надзо</w:t>
      </w:r>
      <w:r>
        <w:rPr>
          <w:rFonts w:ascii="Times New Roman" w:hAnsi="Times New Roman" w:cs="Times New Roman"/>
          <w:sz w:val="28"/>
          <w:szCs w:val="28"/>
        </w:rPr>
        <w:t xml:space="preserve">рные)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не проводятся. </w:t>
      </w:r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_Hlk15268598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связи со вступлением в силу постановления правительства Российской Федерации от 10 марта 2022 г № 336 «Об особенностях организации и осуществления государственного контроля (надзора), муниципального контроля» (с изменениями) (далее – постановление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равительства № 336) внеплановые проверки проводятся исключительно по основаниям, установленным постановлением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равительства № 336. </w:t>
      </w:r>
      <w:r>
        <w:rPr>
          <w:highlight w:val="white"/>
        </w:rPr>
      </w:r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профилактической работы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отдела государственного контроля (надзора) в области долевого строительства Министерства (далее - Отдела)</w:t>
      </w:r>
      <w:r>
        <w:rPr>
          <w:rFonts w:ascii="Times New Roman" w:hAnsi="Times New Roman" w:cs="Times New Roman"/>
          <w:sz w:val="28"/>
          <w:szCs w:val="28"/>
        </w:rPr>
        <w:t xml:space="preserve"> с 1 января 202</w:t>
      </w:r>
      <w:r>
        <w:rPr>
          <w:rFonts w:ascii="Times New Roman" w:hAnsi="Times New Roman" w:cs="Times New Roman"/>
          <w:sz w:val="28"/>
          <w:szCs w:val="28"/>
        </w:rPr>
        <w:t xml:space="preserve">4 г. </w:t>
      </w:r>
      <w:r>
        <w:rPr>
          <w:rFonts w:ascii="Times New Roman" w:hAnsi="Times New Roman" w:cs="Times New Roman"/>
          <w:sz w:val="28"/>
          <w:szCs w:val="28"/>
        </w:rPr>
        <w:t xml:space="preserve">по 30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 xml:space="preserve">4 г.:</w:t>
      </w:r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объявлено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предостережени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недопустимости нарушений обязательных требований законодательства в области долевого строительства;</w:t>
      </w:r>
      <w:r>
        <w:rPr>
          <w:highlight w:val="white"/>
        </w:rPr>
      </w:r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проведено 61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консультировани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проведено 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информировани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проведено 1 обобщение правоприменительной практики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проведено 2 профилактических визитов.</w:t>
      </w:r>
      <w:bookmarkEnd w:id="0"/>
      <w:r>
        <w:rPr>
          <w:highlight w:val="white"/>
        </w:rPr>
      </w:r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9"/>
        </w:num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реализации профилактической работы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профилактической работы являются: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стимулирование добросовестного соблюдения контролируемыми лицами обязательных требований, установленных Федеральным законом от 30.12.2004 № 214-ФЗ (далее – обязательные требования);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 w:eastAsia="Calibri"/>
          <w:sz w:val="28"/>
          <w:szCs w:val="28"/>
        </w:rPr>
        <w:t xml:space="preserve">предупреждение нарушений обязательных требований (снижение числа нарушений обязательных требований) в сфере долевого строительства многоквартирных домов и (или) иных объектов недвижимости на территории</w:t>
      </w:r>
      <w:r>
        <w:rPr>
          <w:rFonts w:ascii="Times New Roman" w:hAnsi="Times New Roman" w:cs="Times New Roman" w:eastAsia="Calibri"/>
          <w:sz w:val="28"/>
          <w:szCs w:val="28"/>
        </w:rPr>
        <w:t xml:space="preserve"> Курской области;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устранения условий, причин и факторов, способных привести к нарушениям обязательных требований;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предотвращение рисков причинения вреда (ущерба) охраняемым законом ценностям;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доведения обязательных требований до контролируемых лиц.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профилактической работы являются: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причин, факторов и условий, способствующих причинению вреда охраняемым законом ценностям и нарушению обязательных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требований, определение способов устранения или снижения рисков их возникновения;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механизмов эффективного, законопослушного поведения подконтрольных субъектов и повышение уровня их правовой грамотности;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и присвоенного им уровня риска, проведение профилактических мероприятий с учетом данных факторов;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перечня видов данных, необходимых для организации профилактической работы;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задачи в зависимости от выявленных проблем безопасности регулируемой сферы и текущего состояния профилактической работы.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2"/>
        <w:numPr>
          <w:ilvl w:val="0"/>
          <w:numId w:val="9"/>
        </w:num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профилактических мероприятий, сроки (периодичность) их проведения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проводит следующие профилактические мероприятия: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по вопросам соблюдения обязательных требований, осуществляется в порядке, установленным ст. 46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07.</w:t>
      </w:r>
      <w:r>
        <w:rPr>
          <w:rFonts w:ascii="Times New Roman" w:hAnsi="Times New Roman" w:cs="Times New Roman"/>
          <w:sz w:val="28"/>
          <w:szCs w:val="28"/>
        </w:rPr>
        <w:t xml:space="preserve">2020 г. № 248-ФЗ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размещаются и поддерживаются в актуальном состоянии на официальном сайте Министерства в информационно-телекоммуникационной сети «Интернет»: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нормативно-правовые акты, регулирующие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сведения об изменениях, внесенных в нормативно-правовые акты, регулирующие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, о сроках и порядке их вступления в силу;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перечень индикаторов риска нарушения обязательных требований;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программу профилактики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сведений, которые могут запрашиваться Отделом у контролируемых лиц;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порядке досудебного обжалования решений Министерства, действий (бездействий) его должностных лиц;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доклады о государственном контроле (надзоре);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сведения, предусмотренные нормативными правовыми актами Российской Федерации, нормативными правовыми актами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Отдел проводит обобщение правоприменительной практики при осуществлении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один раз в год, не позднее 15 мая </w:t>
      </w:r>
      <w:r>
        <w:rPr>
          <w:rFonts w:ascii="Times New Roman" w:hAnsi="Times New Roman" w:cs="Times New Roman" w:eastAsia="Calibri"/>
          <w:spacing w:val="-6"/>
          <w:sz w:val="28"/>
          <w:szCs w:val="25"/>
        </w:rPr>
        <w:t xml:space="preserve">года</w:t>
      </w:r>
      <w:r>
        <w:rPr>
          <w:rFonts w:ascii="Times New Roman" w:hAnsi="Times New Roman" w:cs="Times New Roman" w:eastAsia="Calibri"/>
          <w:spacing w:val="-6"/>
          <w:sz w:val="28"/>
          <w:szCs w:val="28"/>
        </w:rPr>
        <w:t xml:space="preserve">, следующего за отчетным годом,</w:t>
      </w:r>
      <w:r>
        <w:rPr>
          <w:rFonts w:ascii="Times New Roman" w:hAnsi="Times New Roman" w:cs="Times New Roman"/>
          <w:sz w:val="28"/>
          <w:szCs w:val="28"/>
        </w:rPr>
        <w:t xml:space="preserve"> в целях: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обеспечения единообразных подходов к примене</w:t>
      </w:r>
      <w:r>
        <w:rPr>
          <w:rFonts w:ascii="Times New Roman" w:hAnsi="Times New Roman" w:cs="Times New Roman"/>
          <w:sz w:val="28"/>
          <w:szCs w:val="28"/>
        </w:rPr>
        <w:t xml:space="preserve">нию Отделом обязательных требований законодательства Российской Федерации о государственном контроле (надзоре);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выявления типичных нарушений обязательных требований, установления причин, факторов и условий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способствующих возникновению указа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ных нарушений;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анализа случаев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Отдел обеспечивает подготовку доклада, содержащего результаты обобщения правоприменительной практики. Проект доклада о правоприменительной практике готовится Отделом один раз в год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случае наличия у Отдела сведений о готовящихся нарушениях обязательных требований или п</w:t>
      </w:r>
      <w:r>
        <w:rPr>
          <w:rFonts w:ascii="Times New Roman" w:hAnsi="Times New Roman" w:cs="Times New Roman"/>
          <w:sz w:val="28"/>
          <w:szCs w:val="28"/>
        </w:rPr>
        <w:t xml:space="preserve">ризнаках нарушений обязательных требований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</w:r>
      <w:r>
        <w:rPr>
          <w:rFonts w:ascii="Times New Roman" w:hAnsi="Times New Roman" w:cs="Times New Roman"/>
          <w:sz w:val="28"/>
          <w:szCs w:val="28"/>
        </w:rPr>
        <w:t xml:space="preserve">ц</w:t>
      </w:r>
      <w:r>
        <w:rPr>
          <w:rFonts w:ascii="Times New Roman" w:hAnsi="Times New Roman" w:cs="Times New Roman"/>
          <w:sz w:val="28"/>
          <w:szCs w:val="28"/>
        </w:rPr>
        <w:t xml:space="preserve">енностям, Отдел</w:t>
      </w:r>
      <w:r>
        <w:rPr>
          <w:rFonts w:ascii="Times New Roman" w:hAnsi="Times New Roman" w:cs="Times New Roman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предостережения происходит </w:t>
      </w:r>
      <w:r>
        <w:rPr>
          <w:rFonts w:ascii="Times New Roman" w:hAnsi="Times New Roman" w:cs="Times New Roman" w:eastAsia="Calibri"/>
          <w:spacing w:val="-6"/>
          <w:sz w:val="28"/>
          <w:szCs w:val="28"/>
        </w:rPr>
        <w:t xml:space="preserve">в</w:t>
      </w:r>
      <w:r>
        <w:rPr>
          <w:rFonts w:ascii="Times New Roman" w:hAnsi="Times New Roman" w:cs="Times New Roman" w:eastAsia="Calibri"/>
          <w:spacing w:val="-6"/>
          <w:sz w:val="28"/>
          <w:szCs w:val="28"/>
        </w:rPr>
        <w:t xml:space="preserve"> течение года при наличии оснований.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Должностные лица Отдела осуществляют консультирование контролируемых лиц</w:t>
      </w:r>
      <w:r>
        <w:rPr>
          <w:rFonts w:ascii="Times New Roman" w:hAnsi="Times New Roman" w:cs="Times New Roman"/>
          <w:sz w:val="28"/>
          <w:szCs w:val="28"/>
        </w:rPr>
        <w:t xml:space="preserve"> в течении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Консультации предоставляются при личном обращении, посредством телефонной связи, электронной почты, видео-конференц-связи, а также в ходе проведения профилактического мероприятия, контрольного (надзорного) мероприятия.</w:t>
      </w:r>
      <w:r/>
    </w:p>
    <w:p>
      <w:pPr>
        <w:ind w:firstLine="709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Консультирование проводится по вопросам, связанным с организацией и осуществлением регионального государственного контроля (надзора):</w:t>
      </w:r>
      <w:r/>
    </w:p>
    <w:p>
      <w:pPr>
        <w:ind w:firstLine="709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оснований для проведения профилактических и внеплановых контрольных (надзорных) мероприятий;</w:t>
      </w:r>
      <w:r/>
    </w:p>
    <w:p>
      <w:pPr>
        <w:ind w:firstLine="709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порядка проведения контрольного (надзорного) мероприятия;</w:t>
      </w:r>
      <w:r/>
    </w:p>
    <w:p>
      <w:pPr>
        <w:ind w:firstLine="709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порядка принятия решений по итогам профилактических и контрольных (надзорных) мероприятий;</w:t>
      </w:r>
      <w:r/>
    </w:p>
    <w:p>
      <w:pPr>
        <w:ind w:firstLine="709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порядка обжалования решений Министерства, действий (бездействия) должностных лиц по результатам профилактических и контрольных (надзорных) мероприятий.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 Должностные лица Отдела проводят профилактические визиты в отношении контролируемых лиц по месту осуществления их деятельности либо путем видео-конференц-связи.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5.1) </w:t>
      </w:r>
      <w:r>
        <w:rPr>
          <w:rFonts w:ascii="Times New Roman" w:hAnsi="Times New Roman" w:cs="Times New Roman"/>
          <w:sz w:val="28"/>
          <w:szCs w:val="28"/>
        </w:rPr>
        <w:t xml:space="preserve">План проведения профилактических визитов в 2025 году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45"/>
        <w:tblW w:w="0" w:type="auto"/>
        <w:tblInd w:w="279" w:type="dxa"/>
        <w:tblLook w:val="04A0" w:firstRow="1" w:lastRow="0" w:firstColumn="1" w:lastColumn="0" w:noHBand="0" w:noVBand="1"/>
      </w:tblPr>
      <w:tblGrid>
        <w:gridCol w:w="484"/>
        <w:gridCol w:w="3720"/>
        <w:gridCol w:w="2340"/>
        <w:gridCol w:w="2521"/>
      </w:tblGrid>
      <w:tr>
        <w:trPr/>
        <w:tc>
          <w:tcPr>
            <w:tcW w:w="4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/>
          </w:p>
        </w:tc>
        <w:tc>
          <w:tcPr>
            <w:tcW w:w="42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Контролируемое лицо</w:t>
            </w:r>
            <w:r>
              <w:rPr>
                <w:highlight w:val="white"/>
              </w:rPr>
            </w:r>
            <w:r/>
          </w:p>
        </w:tc>
        <w:tc>
          <w:tcPr>
            <w:tcW w:w="11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Ответственный исполнитель</w:t>
            </w:r>
            <w:r>
              <w:rPr>
                <w:highlight w:val="white"/>
              </w:rPr>
            </w:r>
            <w:r/>
          </w:p>
        </w:tc>
        <w:tc>
          <w:tcPr>
            <w:tcW w:w="3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Срок исполнения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W w:w="42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  <w:t xml:space="preserve">ООО «Специализированный застройщик 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  <w:t xml:space="preserve">«АТХ Курчатов -Парк» (ИНН 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  <w:highlight w:val="white"/>
              </w:rPr>
              <w:t xml:space="preserve">634010408)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highlight w:val="white"/>
              </w:rPr>
            </w:r>
            <w:r/>
          </w:p>
        </w:tc>
        <w:tc>
          <w:tcPr>
            <w:tcW w:w="11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сотрудники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отдела государственного контроля (надзора) в области долевого строительства Министерства</w:t>
            </w:r>
            <w:r>
              <w:rPr>
                <w:highlight w:val="white"/>
              </w:rPr>
            </w:r>
            <w:r/>
          </w:p>
        </w:tc>
        <w:tc>
          <w:tcPr>
            <w:tcW w:w="3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 квартал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429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  <w:t xml:space="preserve">ООО «Специализированный застройщик «Красная площадь дом-1»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  <w:t xml:space="preserve">(ИНН 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  <w:highlight w:val="white"/>
              </w:rPr>
              <w:t xml:space="preserve">4632290541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r>
            <w:r/>
          </w:p>
        </w:tc>
        <w:tc>
          <w:tcPr>
            <w:tcW w:w="11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сотрудники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отдела государственного контроля (надзора) в области долевого строительства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30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429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  <w:t xml:space="preserve">ООО «Специализированный застройщик «Инженер»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  <w:t xml:space="preserve">(ИНН 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  <w:highlight w:val="white"/>
              </w:rPr>
              <w:t xml:space="preserve">4629005410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r>
            <w:r/>
          </w:p>
        </w:tc>
        <w:tc>
          <w:tcPr>
            <w:tcW w:w="11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сотрудники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отдела государственного контроля (надзора) в области долевого строительства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30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 квартал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429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  <w:t xml:space="preserve">ООО «Специализированный застройщик «Полет»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  <w:t xml:space="preserve">(ИНН 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  <w:highlight w:val="white"/>
              </w:rPr>
              <w:t xml:space="preserve">4632171706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  <w:highlight w:val="white"/>
              </w:rPr>
            </w:r>
            <w:r/>
          </w:p>
        </w:tc>
        <w:tc>
          <w:tcPr>
            <w:tcW w:w="11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сотрудники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отдела государственного контроля (надзора) в области долевого строительства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30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 квартал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</w:tbl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9"/>
        </w:num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результативности и эффективности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 профилактики</w:t>
      </w:r>
      <w:r/>
    </w:p>
    <w:p>
      <w:pPr>
        <w:ind w:left="-15" w:firstLine="852"/>
      </w:pPr>
      <w:r/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осуществлении регионального государственного контроля (надзора) размещена на официальном сайте </w:t>
      </w:r>
      <w:r>
        <w:rPr>
          <w:rFonts w:ascii="Times New Roman" w:hAnsi="Times New Roman" w:cs="Times New Roman" w:eastAsia="Calibri"/>
          <w:spacing w:val="-6"/>
          <w:sz w:val="28"/>
          <w:szCs w:val="28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разделе «</w:t>
      </w:r>
      <w:r>
        <w:rPr>
          <w:rFonts w:ascii="Times New Roman" w:hAnsi="Times New Roman" w:cs="Times New Roman"/>
          <w:sz w:val="28"/>
          <w:szCs w:val="28"/>
        </w:rPr>
        <w:t xml:space="preserve">Экономика</w:t>
      </w:r>
      <w:r>
        <w:rPr>
          <w:rFonts w:ascii="Times New Roman" w:hAnsi="Times New Roman" w:cs="Times New Roman"/>
          <w:sz w:val="28"/>
          <w:szCs w:val="28"/>
        </w:rPr>
        <w:t xml:space="preserve">», подразделе «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» по </w:t>
      </w:r>
      <w:r>
        <w:rPr>
          <w:rFonts w:ascii="Times New Roman" w:hAnsi="Times New Roman" w:cs="Times New Roman"/>
          <w:sz w:val="28"/>
          <w:szCs w:val="28"/>
        </w:rPr>
        <w:t xml:space="preserve">адресу:</w:t>
      </w:r>
      <w:r>
        <w:rPr>
          <w:rFonts w:ascii="Times New Roman" w:hAnsi="Times New Roman" w:cs="Times New Roman"/>
          <w:sz w:val="28"/>
          <w:szCs w:val="28"/>
        </w:rPr>
        <w:t xml:space="preserve"> https://строй.курск.рф/economy/stroitelstvo/kontrol-i-nadzor-dolevogo-stroitelstva/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69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рисков причинения вреда (ущерба) охраняемым законом ценностям может быть обеспечено за счет: </w:t>
      </w:r>
      <w:r/>
    </w:p>
    <w:p>
      <w:pPr>
        <w:ind w:firstLine="698"/>
        <w:jc w:val="both"/>
        <w:spacing w:lineRule="auto" w:line="268" w:after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надзорных мероприятий, о правах контролируемых лиц в ходе проведения контрольных надзорных мероприятий; </w:t>
      </w:r>
      <w:r/>
    </w:p>
    <w:p>
      <w:pPr>
        <w:ind w:firstLine="698"/>
        <w:jc w:val="both"/>
        <w:spacing w:lineRule="auto" w:line="268" w:after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азъяснений по применению обязательных требований, обеспечивающих их однозначное толкование контролируемыми лицами; </w:t>
      </w:r>
      <w:r/>
    </w:p>
    <w:p>
      <w:pPr>
        <w:ind w:firstLine="709"/>
        <w:jc w:val="both"/>
        <w:spacing w:lineRule="auto" w:line="268" w:after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</w:t>
      </w:r>
      <w:r>
        <w:rPr>
          <w:rFonts w:ascii="Times New Roman" w:hAnsi="Times New Roman" w:cs="Times New Roman"/>
          <w:sz w:val="28"/>
          <w:szCs w:val="28"/>
        </w:rPr>
        <w:t xml:space="preserve">овлечения контролируемых лиц в регулярное взаимодействие с контрольным надзорным органом; </w:t>
      </w:r>
      <w:r/>
    </w:p>
    <w:p>
      <w:pPr>
        <w:ind w:left="698"/>
        <w:jc w:val="both"/>
        <w:spacing w:lineRule="auto" w:line="268" w:after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</w:t>
      </w:r>
      <w:r>
        <w:rPr>
          <w:rFonts w:ascii="Times New Roman" w:hAnsi="Times New Roman" w:cs="Times New Roman"/>
          <w:sz w:val="28"/>
          <w:szCs w:val="28"/>
        </w:rPr>
        <w:t xml:space="preserve">отивация к добросовестному поведению контролируемых лиц.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являются:</w:t>
      </w:r>
      <w:r/>
    </w:p>
    <w:tbl>
      <w:tblPr>
        <w:tblStyle w:val="845"/>
        <w:tblW w:w="9606" w:type="dxa"/>
        <w:tblLook w:val="04A0" w:firstRow="1" w:lastRow="0" w:firstColumn="1" w:lastColumn="0" w:noHBand="0" w:noVBand="1"/>
      </w:tblPr>
      <w:tblGrid>
        <w:gridCol w:w="594"/>
        <w:gridCol w:w="7027"/>
        <w:gridCol w:w="1985"/>
      </w:tblGrid>
      <w:tr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№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п/п</w:t>
            </w:r>
            <w:r/>
          </w:p>
        </w:tc>
        <w:tc>
          <w:tcPr>
            <w:tcW w:w="70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Наименование показателя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Величина</w:t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1.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Количество проведенных профилактических мероприятий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30 </w:t>
            </w: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val="en-US"/>
              </w:rPr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2.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Доля контролируемых лиц, в отношении которых проведены профилактические мероприятия, в общем количестве контролируемых лиц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30</w:t>
            </w: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 %</w:t>
            </w: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 и более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3.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Доля контролируемых лиц, в отношении которых проводились профилактические мероприятия, допустившие нарушения обязательных требований, в общем количестве контролируемых лиц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Calibri" w:eastAsia="Times New Roman"/>
                <w:bCs/>
                <w:sz w:val="25"/>
                <w:szCs w:val="25"/>
                <w:lang w:eastAsia="ru-RU"/>
              </w:rPr>
              <w:t xml:space="preserve">менее 20 %</w:t>
            </w:r>
            <w:r/>
          </w:p>
        </w:tc>
      </w:tr>
    </w:tbl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077" w:right="851" w:bottom="107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36" w:hanging="118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2869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6829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629" w:hanging="2160"/>
      </w:pPr>
      <w:rPr>
        <w:rFonts w:hint="default"/>
        <w:b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fill="auto" w:color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5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8"/>
    <w:next w:val="838"/>
    <w:link w:val="66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5">
    <w:name w:val="Heading 1 Char"/>
    <w:basedOn w:val="839"/>
    <w:link w:val="664"/>
    <w:uiPriority w:val="9"/>
    <w:rPr>
      <w:rFonts w:ascii="Arial" w:hAnsi="Arial" w:cs="Arial" w:eastAsia="Arial"/>
      <w:sz w:val="40"/>
      <w:szCs w:val="40"/>
    </w:rPr>
  </w:style>
  <w:style w:type="paragraph" w:styleId="666">
    <w:name w:val="Heading 2"/>
    <w:basedOn w:val="838"/>
    <w:next w:val="838"/>
    <w:link w:val="6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7">
    <w:name w:val="Heading 2 Char"/>
    <w:basedOn w:val="839"/>
    <w:link w:val="666"/>
    <w:uiPriority w:val="9"/>
    <w:rPr>
      <w:rFonts w:ascii="Arial" w:hAnsi="Arial" w:cs="Arial" w:eastAsia="Arial"/>
      <w:sz w:val="34"/>
    </w:rPr>
  </w:style>
  <w:style w:type="paragraph" w:styleId="668">
    <w:name w:val="Heading 3"/>
    <w:basedOn w:val="838"/>
    <w:next w:val="838"/>
    <w:link w:val="66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9">
    <w:name w:val="Heading 3 Char"/>
    <w:basedOn w:val="839"/>
    <w:link w:val="668"/>
    <w:uiPriority w:val="9"/>
    <w:rPr>
      <w:rFonts w:ascii="Arial" w:hAnsi="Arial" w:cs="Arial" w:eastAsia="Arial"/>
      <w:sz w:val="30"/>
      <w:szCs w:val="30"/>
    </w:rPr>
  </w:style>
  <w:style w:type="paragraph" w:styleId="670">
    <w:name w:val="Heading 4"/>
    <w:basedOn w:val="838"/>
    <w:next w:val="838"/>
    <w:link w:val="6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1">
    <w:name w:val="Heading 4 Char"/>
    <w:basedOn w:val="839"/>
    <w:link w:val="670"/>
    <w:uiPriority w:val="9"/>
    <w:rPr>
      <w:rFonts w:ascii="Arial" w:hAnsi="Arial" w:cs="Arial" w:eastAsia="Arial"/>
      <w:b/>
      <w:bCs/>
      <w:sz w:val="26"/>
      <w:szCs w:val="26"/>
    </w:rPr>
  </w:style>
  <w:style w:type="paragraph" w:styleId="672">
    <w:name w:val="Heading 5"/>
    <w:basedOn w:val="838"/>
    <w:next w:val="838"/>
    <w:link w:val="6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3">
    <w:name w:val="Heading 5 Char"/>
    <w:basedOn w:val="839"/>
    <w:link w:val="672"/>
    <w:uiPriority w:val="9"/>
    <w:rPr>
      <w:rFonts w:ascii="Arial" w:hAnsi="Arial" w:cs="Arial" w:eastAsia="Arial"/>
      <w:b/>
      <w:bCs/>
      <w:sz w:val="24"/>
      <w:szCs w:val="24"/>
    </w:rPr>
  </w:style>
  <w:style w:type="paragraph" w:styleId="674">
    <w:name w:val="Heading 6"/>
    <w:basedOn w:val="838"/>
    <w:next w:val="838"/>
    <w:link w:val="6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5">
    <w:name w:val="Heading 6 Char"/>
    <w:basedOn w:val="839"/>
    <w:link w:val="674"/>
    <w:uiPriority w:val="9"/>
    <w:rPr>
      <w:rFonts w:ascii="Arial" w:hAnsi="Arial" w:cs="Arial" w:eastAsia="Arial"/>
      <w:b/>
      <w:bCs/>
      <w:sz w:val="22"/>
      <w:szCs w:val="22"/>
    </w:rPr>
  </w:style>
  <w:style w:type="paragraph" w:styleId="676">
    <w:name w:val="Heading 7"/>
    <w:basedOn w:val="838"/>
    <w:next w:val="838"/>
    <w:link w:val="6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7">
    <w:name w:val="Heading 7 Char"/>
    <w:basedOn w:val="839"/>
    <w:link w:val="6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8">
    <w:name w:val="Heading 8"/>
    <w:basedOn w:val="838"/>
    <w:next w:val="838"/>
    <w:link w:val="6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9">
    <w:name w:val="Heading 8 Char"/>
    <w:basedOn w:val="839"/>
    <w:link w:val="678"/>
    <w:uiPriority w:val="9"/>
    <w:rPr>
      <w:rFonts w:ascii="Arial" w:hAnsi="Arial" w:cs="Arial" w:eastAsia="Arial"/>
      <w:i/>
      <w:iCs/>
      <w:sz w:val="22"/>
      <w:szCs w:val="22"/>
    </w:rPr>
  </w:style>
  <w:style w:type="paragraph" w:styleId="680">
    <w:name w:val="Heading 9"/>
    <w:basedOn w:val="838"/>
    <w:next w:val="838"/>
    <w:link w:val="6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1">
    <w:name w:val="Heading 9 Char"/>
    <w:basedOn w:val="839"/>
    <w:link w:val="680"/>
    <w:uiPriority w:val="9"/>
    <w:rPr>
      <w:rFonts w:ascii="Arial" w:hAnsi="Arial" w:cs="Arial" w:eastAsia="Arial"/>
      <w:i/>
      <w:iCs/>
      <w:sz w:val="21"/>
      <w:szCs w:val="21"/>
    </w:rPr>
  </w:style>
  <w:style w:type="paragraph" w:styleId="682">
    <w:name w:val="No Spacing"/>
    <w:qFormat/>
    <w:uiPriority w:val="1"/>
    <w:pPr>
      <w:spacing w:lineRule="auto" w:line="240" w:after="0" w:before="0"/>
    </w:pPr>
  </w:style>
  <w:style w:type="paragraph" w:styleId="683">
    <w:name w:val="Title"/>
    <w:basedOn w:val="838"/>
    <w:next w:val="838"/>
    <w:link w:val="68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4">
    <w:name w:val="Title Char"/>
    <w:basedOn w:val="839"/>
    <w:link w:val="683"/>
    <w:uiPriority w:val="10"/>
    <w:rPr>
      <w:sz w:val="48"/>
      <w:szCs w:val="48"/>
    </w:rPr>
  </w:style>
  <w:style w:type="paragraph" w:styleId="685">
    <w:name w:val="Subtitle"/>
    <w:basedOn w:val="838"/>
    <w:next w:val="838"/>
    <w:link w:val="686"/>
    <w:qFormat/>
    <w:uiPriority w:val="11"/>
    <w:rPr>
      <w:sz w:val="24"/>
      <w:szCs w:val="24"/>
    </w:rPr>
    <w:pPr>
      <w:spacing w:after="200" w:before="200"/>
    </w:pPr>
  </w:style>
  <w:style w:type="character" w:styleId="686">
    <w:name w:val="Subtitle Char"/>
    <w:basedOn w:val="839"/>
    <w:link w:val="685"/>
    <w:uiPriority w:val="11"/>
    <w:rPr>
      <w:sz w:val="24"/>
      <w:szCs w:val="24"/>
    </w:rPr>
  </w:style>
  <w:style w:type="paragraph" w:styleId="687">
    <w:name w:val="Quote"/>
    <w:basedOn w:val="838"/>
    <w:next w:val="838"/>
    <w:link w:val="688"/>
    <w:qFormat/>
    <w:uiPriority w:val="29"/>
    <w:rPr>
      <w:i/>
    </w:rPr>
    <w:pPr>
      <w:ind w:left="720" w:right="720"/>
    </w:p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8"/>
    <w:next w:val="838"/>
    <w:link w:val="69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9"/>
    <w:link w:val="849"/>
    <w:uiPriority w:val="99"/>
  </w:style>
  <w:style w:type="character" w:styleId="692">
    <w:name w:val="Footer Char"/>
    <w:basedOn w:val="839"/>
    <w:link w:val="851"/>
    <w:uiPriority w:val="99"/>
  </w:style>
  <w:style w:type="paragraph" w:styleId="693">
    <w:name w:val="Caption"/>
    <w:basedOn w:val="838"/>
    <w:next w:val="83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4">
    <w:name w:val="Caption Char"/>
    <w:basedOn w:val="693"/>
    <w:link w:val="851"/>
    <w:uiPriority w:val="99"/>
  </w:style>
  <w:style w:type="table" w:styleId="695">
    <w:name w:val="Table Grid Light"/>
    <w:basedOn w:val="84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3">
    <w:name w:val="Grid Table 4 - Accent 1"/>
    <w:basedOn w:val="8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4">
    <w:name w:val="Grid Table 4 - Accent 2"/>
    <w:basedOn w:val="8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5">
    <w:name w:val="Grid Table 4 - Accent 3"/>
    <w:basedOn w:val="8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6">
    <w:name w:val="Grid Table 4 - Accent 4"/>
    <w:basedOn w:val="8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7">
    <w:name w:val="Grid Table 4 - Accent 5"/>
    <w:basedOn w:val="8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8">
    <w:name w:val="Grid Table 4 - Accent 6"/>
    <w:basedOn w:val="8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9">
    <w:name w:val="Grid Table 5 Dark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30">
    <w:name w:val="Grid Table 5 Dark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32">
    <w:name w:val="Grid Table 5 Dark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33">
    <w:name w:val="Grid Table 5 Dark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4">
    <w:name w:val="Grid Table 5 Dark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5">
    <w:name w:val="Grid Table 5 Dark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6">
    <w:name w:val="Grid Table 6 Colorful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8">
    <w:name w:val="List Table 2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9">
    <w:name w:val="List Table 2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0">
    <w:name w:val="List Table 2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1">
    <w:name w:val="List Table 2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2">
    <w:name w:val="List Table 2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3">
    <w:name w:val="List Table 2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4">
    <w:name w:val="List Table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6">
    <w:name w:val="List Table 6 Colorful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7">
    <w:name w:val="List Table 6 Colorful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8">
    <w:name w:val="List Table 6 Colorful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9">
    <w:name w:val="List Table 6 Colorful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0">
    <w:name w:val="List Table 6 Colorful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1">
    <w:name w:val="List Table 6 Colorful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2">
    <w:name w:val="List Table 7 Colorful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0">
    <w:name w:val="Lined - Accent 1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1">
    <w:name w:val="Lined - Accent 2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2">
    <w:name w:val="Lined - Accent 3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3">
    <w:name w:val="Lined - Accent 4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4">
    <w:name w:val="Lined - Accent 5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5">
    <w:name w:val="Lined - Accent 6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6">
    <w:name w:val="Bordered &amp; Lined - Accent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7">
    <w:name w:val="Bordered &amp; Lined - Accent 1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8">
    <w:name w:val="Bordered &amp; Lined - Accent 2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9">
    <w:name w:val="Bordered &amp; Lined - Accent 3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0">
    <w:name w:val="Bordered &amp; Lined - Accent 4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1">
    <w:name w:val="Bordered &amp; Lined - Accent 5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2">
    <w:name w:val="Bordered &amp; Lined - Accent 6"/>
    <w:basedOn w:val="8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3">
    <w:name w:val="Bordered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4">
    <w:name w:val="Bordered - Accent 1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5">
    <w:name w:val="Bordered - Accent 2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6">
    <w:name w:val="Bordered - Accent 3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7">
    <w:name w:val="Bordered - Accent 4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8">
    <w:name w:val="Bordered - Accent 5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9">
    <w:name w:val="Bordered - Accent 6"/>
    <w:basedOn w:val="8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rPr>
      <w:sz w:val="18"/>
    </w:rPr>
    <w:pPr>
      <w:spacing w:lineRule="auto" w:line="240" w:after="40"/>
    </w:p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rPr>
      <w:sz w:val="20"/>
    </w:rPr>
    <w:pPr>
      <w:spacing w:lineRule="auto" w:line="240" w:after="0"/>
    </w:p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List Paragraph"/>
    <w:basedOn w:val="838"/>
    <w:qFormat/>
    <w:uiPriority w:val="34"/>
    <w:pPr>
      <w:contextualSpacing w:val="true"/>
      <w:ind w:left="720"/>
    </w:pPr>
  </w:style>
  <w:style w:type="paragraph" w:styleId="843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844" w:customStyle="1">
    <w:name w:val="ConsPlusTitle"/>
    <w:rPr>
      <w:rFonts w:ascii="Calibri" w:hAnsi="Calibri" w:cs="Calibri" w:eastAsia="Times New Roman"/>
      <w:b/>
      <w:sz w:val="20"/>
      <w:szCs w:val="20"/>
      <w:lang w:eastAsia="ru-RU"/>
    </w:rPr>
    <w:pPr>
      <w:spacing w:lineRule="auto" w:line="240" w:after="0"/>
      <w:widowControl w:val="off"/>
    </w:pPr>
  </w:style>
  <w:style w:type="table" w:styleId="845">
    <w:name w:val="Table Grid"/>
    <w:basedOn w:val="84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46" w:customStyle="1">
    <w:name w:val="Знак1"/>
    <w:basedOn w:val="838"/>
    <w:rPr>
      <w:rFonts w:ascii="Tahoma" w:hAnsi="Tahoma" w:cs="Times New Roman" w:eastAsia="Times New Roman"/>
      <w:sz w:val="20"/>
      <w:szCs w:val="20"/>
      <w:lang w:val="en-US"/>
    </w:rPr>
    <w:pPr>
      <w:spacing w:lineRule="auto" w:line="240" w:after="100" w:afterAutospacing="1" w:before="100" w:beforeAutospacing="1"/>
    </w:pPr>
  </w:style>
  <w:style w:type="paragraph" w:styleId="847">
    <w:name w:val="Balloon Text"/>
    <w:basedOn w:val="838"/>
    <w:link w:val="848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48" w:customStyle="1">
    <w:name w:val="Текст выноски Знак"/>
    <w:basedOn w:val="839"/>
    <w:link w:val="847"/>
    <w:uiPriority w:val="99"/>
    <w:semiHidden/>
    <w:rPr>
      <w:rFonts w:ascii="Tahoma" w:hAnsi="Tahoma" w:cs="Tahoma"/>
      <w:sz w:val="16"/>
      <w:szCs w:val="16"/>
    </w:rPr>
  </w:style>
  <w:style w:type="paragraph" w:styleId="849">
    <w:name w:val="Header"/>
    <w:basedOn w:val="838"/>
    <w:link w:val="85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839"/>
    <w:link w:val="849"/>
    <w:uiPriority w:val="99"/>
  </w:style>
  <w:style w:type="paragraph" w:styleId="851">
    <w:name w:val="Footer"/>
    <w:basedOn w:val="838"/>
    <w:link w:val="85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839"/>
    <w:link w:val="85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E82EFDB-1CBA-412B-9724-5F057EFC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Анна Александровна</dc:creator>
  <cp:revision>16</cp:revision>
  <dcterms:created xsi:type="dcterms:W3CDTF">2022-11-09T13:08:00Z</dcterms:created>
  <dcterms:modified xsi:type="dcterms:W3CDTF">2024-10-01T06:19:42Z</dcterms:modified>
</cp:coreProperties>
</file>